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i w:val="0"/>
          <w:iCs w:val="0"/>
          <w:caps w:val="0"/>
          <w:color w:val="333333"/>
          <w:spacing w:val="0"/>
          <w:sz w:val="27"/>
          <w:szCs w:val="27"/>
        </w:rPr>
      </w:pPr>
      <w:r>
        <w:rPr>
          <w:rStyle w:val="8"/>
          <w:rFonts w:hint="eastAsia" w:ascii="微软雅黑" w:hAnsi="微软雅黑" w:eastAsia="微软雅黑" w:cs="微软雅黑"/>
          <w:i w:val="0"/>
          <w:iCs w:val="0"/>
          <w:caps w:val="0"/>
          <w:color w:val="333333"/>
          <w:spacing w:val="0"/>
          <w:sz w:val="27"/>
          <w:szCs w:val="27"/>
          <w:bdr w:val="none" w:color="auto" w:sz="0" w:space="0"/>
          <w:shd w:val="clear" w:fill="FFFFFF"/>
        </w:rPr>
        <w:t>十五、坚定不移全面从严治党，深入推进新时代党的建设新的伟大工程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我们要落实新时代党的建设总要求，健全全面从严治党体系，全面推进党的自我净化、自我完善、自我革新、自我提高，使我们党坚守初心使命，始终成为中国特色社会主义事业的坚强领导核心。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w:t>
      </w:r>
      <w:bookmarkStart w:id="0" w:name="_GoBack"/>
      <w:bookmarkEnd w:id="0"/>
      <w:r>
        <w:rPr>
          <w:rFonts w:hint="eastAsia" w:ascii="微软雅黑" w:hAnsi="微软雅黑" w:eastAsia="微软雅黑" w:cs="微软雅黑"/>
          <w:i w:val="0"/>
          <w:iCs w:val="0"/>
          <w:caps w:val="0"/>
          <w:color w:val="333333"/>
          <w:spacing w:val="0"/>
          <w:sz w:val="27"/>
          <w:szCs w:val="27"/>
          <w:bdr w:val="none" w:color="auto" w:sz="0" w:space="0"/>
          <w:shd w:val="clear" w:fill="FFFFFF"/>
        </w:rPr>
        <w:t>领导方式，提高党把方向、谋大局、定政策、促改革能力，调动各方面积极性。增强党内政治生活政治性、时代性、原则性、战斗性，用好批评和自我批评武器，持续净化党内政治生态。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mM2UzZmQ0MWQyZmY0ZjgxMjFlMjQwZjcyNjFhZjEifQ=="/>
  </w:docVars>
  <w:rsids>
    <w:rsidRoot w:val="5113778D"/>
    <w:rsid w:val="09AF0F46"/>
    <w:rsid w:val="34F40D1E"/>
    <w:rsid w:val="5113778D"/>
    <w:rsid w:val="5D616CE2"/>
    <w:rsid w:val="653D3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560" w:lineRule="exact"/>
      <w:outlineLvl w:val="0"/>
    </w:pPr>
    <w:rPr>
      <w:rFonts w:eastAsia="黑体" w:asciiTheme="minorAscii" w:hAnsiTheme="minorAscii"/>
      <w:kern w:val="44"/>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3096</Words>
  <Characters>3096</Characters>
  <Lines>0</Lines>
  <Paragraphs>0</Paragraphs>
  <TotalTime>2</TotalTime>
  <ScaleCrop>false</ScaleCrop>
  <LinksUpToDate>false</LinksUpToDate>
  <CharactersWithSpaces>3114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2023-05-23T07:59:00Z</dcterms:created>
  <dc:creator>乐乐(邓业胜)</dc:creator>
  <cp:lastModifiedBy>乐乐(邓业胜)</cp:lastModifiedBy>
  <dcterms:modified xsi:type="dcterms:W3CDTF">2023-05-23T08:09:06Z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4E119DF50B3247B7938E077F3D290CB9_11</vt:lpwstr>
  </property>
</Properties>
</file>